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BAD6" w14:textId="77777777" w:rsidR="00101F09" w:rsidRDefault="00101F09" w:rsidP="00101F09">
      <w:r>
        <w:t>Brainstorm of possible images for iLRN2022 theme, “</w:t>
      </w:r>
      <w:r w:rsidRPr="005C3CE0">
        <w:rPr>
          <w:b/>
          <w:bCs/>
        </w:rPr>
        <w:t>Disruption, Innovation, &amp; Resiliency</w:t>
      </w:r>
      <w:r>
        <w:t>”</w:t>
      </w:r>
    </w:p>
    <w:p w14:paraId="5EDEA212" w14:textId="77777777" w:rsidR="00101F09" w:rsidRDefault="00101F09" w:rsidP="00101F09">
      <w:r>
        <w:rPr>
          <w:noProof/>
        </w:rPr>
        <mc:AlternateContent>
          <mc:Choice Requires="wps">
            <w:drawing>
              <wp:anchor distT="0" distB="0" distL="114300" distR="114300" simplePos="0" relativeHeight="251659264" behindDoc="0" locked="0" layoutInCell="1" allowOverlap="1" wp14:anchorId="42BF50E8" wp14:editId="408FBB62">
                <wp:simplePos x="0" y="0"/>
                <wp:positionH relativeFrom="column">
                  <wp:posOffset>0</wp:posOffset>
                </wp:positionH>
                <wp:positionV relativeFrom="paragraph">
                  <wp:posOffset>68368</wp:posOffset>
                </wp:positionV>
                <wp:extent cx="54864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5486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0AC99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4pt" to="6in,5.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Q9t6uAEAAMMDAAAOAAAAZHJzL2Uyb0RvYy54bWysU8Fu2zAMvQ/YPwi6L3aCriiMOD2kaC/D&#13;&#10;FqzbB6gyFQuQRIHSEufvRymJO2wDhg270KLER/I90uv7yTtxAEoWQy+Xi1YKCBoHG/a9/Prl8d2d&#13;&#10;FCmrMCiHAXp5giTvN2/frI+xgxWO6AYgwUlC6o6xl2POsWuapEfwKi0wQuBHg+RVZpf2zUDqyNm9&#13;&#10;a1Zte9sckYZIqCElvn04P8pNzW8M6PzJmARZuF5yb7laqval2GazVt2eVBytvrSh/qELr2zgonOq&#13;&#10;B5WV+Eb2l1TeasKEJi80+gaNsRoqB2azbH9i8zyqCJULi5PiLFP6f2n1x8OOhB16uZIiKM8jes6k&#13;&#10;7H7MYoshsIBIYlV0OsbUcfg27OjipbijQnoy5MuX6YipanuatYUpC82X72/ubm9aHoG+vjWvwEgp&#13;&#10;PwF6UQ69dDYU2qpThw8pczEOvYawUxo5l66nfHJQgl34DIapcLFlRdclgq0jcVA8fqU1hLwsVDhf&#13;&#10;jS4wY52bge2fgZf4AoW6YH8DnhG1MoY8g70NSL+rnqdry+Ycf1XgzLtI8ILDqQ6lSsObUhletrqs&#13;&#10;4o9+hb/+e5vvAAAA//8DAFBLAwQUAAYACAAAACEABcO6H98AAAALAQAADwAAAGRycy9kb3ducmV2&#13;&#10;LnhtbEyPQWvCQBCF74L/YZmCN91UikjMRsRSaoUitQV7XLPTJDU7G3ZXE/99R3poLwPzHvPmfdmy&#13;&#10;t424oA+1IwX3kwQEUuFMTaWCj/en8RxEiJqMbhyhgisGWObDQaZT4zp6w8s+loJDKKRaQRVjm0oZ&#13;&#10;igqtDhPXIrH35bzVkVdfSuN1x+G2kdMkmUmra+IPlW5xXWFx2p+tgle/2axX2+s37T5td5huD7uX&#13;&#10;/lmp0V3/uOCxWoCI2Me/C7gxcH/IudjRnckE0ShgmshqwhDszmcPLBx/BZln8j9D/gMAAP//AwBQ&#13;&#10;SwECLQAUAAYACAAAACEAtoM4kv4AAADhAQAAEwAAAAAAAAAAAAAAAAAAAAAAW0NvbnRlbnRfVHlw&#13;&#10;ZXNdLnhtbFBLAQItABQABgAIAAAAIQA4/SH/1gAAAJQBAAALAAAAAAAAAAAAAAAAAC8BAABfcmVs&#13;&#10;cy8ucmVsc1BLAQItABQABgAIAAAAIQCzQ9t6uAEAAMMDAAAOAAAAAAAAAAAAAAAAAC4CAABkcnMv&#13;&#10;ZTJvRG9jLnhtbFBLAQItABQABgAIAAAAIQAFw7of3wAAAAsBAAAPAAAAAAAAAAAAAAAAABIEAABk&#13;&#10;cnMvZG93bnJldi54bWxQSwUGAAAAAAQABADzAAAAHgUAAAAA&#13;&#10;" strokecolor="#4472c4 [3204]" strokeweight=".5pt">
                <v:stroke joinstyle="miter"/>
              </v:line>
            </w:pict>
          </mc:Fallback>
        </mc:AlternateContent>
      </w:r>
    </w:p>
    <w:p w14:paraId="1DFC6FD2" w14:textId="77777777" w:rsidR="00101F09" w:rsidRDefault="00101F09" w:rsidP="00101F09">
      <w:pPr>
        <w:pStyle w:val="ListParagraph"/>
        <w:numPr>
          <w:ilvl w:val="0"/>
          <w:numId w:val="1"/>
        </w:numPr>
      </w:pPr>
      <w:r>
        <w:t>White Bark Pine (google “</w:t>
      </w:r>
      <w:proofErr w:type="spellStart"/>
      <w:r>
        <w:fldChar w:fldCharType="begin"/>
      </w:r>
      <w:r>
        <w:instrText xml:space="preserve"> HYPERLINK "https://www.google.com/search?q=whitebark+pine+drawing&amp;oq=wh&amp;aqs=chrome.0.69i59l3j0i67j69i57j69i61l2j69i60.1319j0j4&amp;sourceid=chrome&amp;ie=UTF-8" </w:instrText>
      </w:r>
      <w:r>
        <w:fldChar w:fldCharType="separate"/>
      </w:r>
      <w:r w:rsidRPr="005C3CE0">
        <w:rPr>
          <w:rStyle w:val="Hyperlink"/>
        </w:rPr>
        <w:t>whitebark</w:t>
      </w:r>
      <w:proofErr w:type="spellEnd"/>
      <w:r w:rsidRPr="005C3CE0">
        <w:rPr>
          <w:rStyle w:val="Hyperlink"/>
        </w:rPr>
        <w:t xml:space="preserve"> pine drawing</w:t>
      </w:r>
      <w:r>
        <w:fldChar w:fldCharType="end"/>
      </w:r>
      <w:r>
        <w:t>”)</w:t>
      </w:r>
    </w:p>
    <w:p w14:paraId="785A989D" w14:textId="77777777" w:rsidR="00101F09" w:rsidRDefault="00101F09" w:rsidP="00101F09">
      <w:pPr>
        <w:pStyle w:val="ListParagraph"/>
        <w:numPr>
          <w:ilvl w:val="0"/>
          <w:numId w:val="1"/>
        </w:numPr>
      </w:pPr>
      <w:r>
        <w:t xml:space="preserve">Helix shape </w:t>
      </w:r>
      <w:hyperlink r:id="rId5" w:history="1">
        <w:r w:rsidRPr="00AC004F">
          <w:rPr>
            <w:rStyle w:val="Hyperlink"/>
          </w:rPr>
          <w:t>https://en.wikipedia.org/wiki/Helix</w:t>
        </w:r>
      </w:hyperlink>
      <w:r>
        <w:t xml:space="preserve"> </w:t>
      </w:r>
    </w:p>
    <w:p w14:paraId="469DAA42" w14:textId="77777777" w:rsidR="00101F09" w:rsidRDefault="00101F09" w:rsidP="00101F09">
      <w:pPr>
        <w:pStyle w:val="ListParagraph"/>
        <w:numPr>
          <w:ilvl w:val="0"/>
          <w:numId w:val="1"/>
        </w:numPr>
      </w:pPr>
      <w:r>
        <w:t xml:space="preserve">A </w:t>
      </w:r>
      <w:hyperlink r:id="rId6" w:history="1">
        <w:r w:rsidRPr="005C3CE0">
          <w:rPr>
            <w:rStyle w:val="Hyperlink"/>
          </w:rPr>
          <w:t>tardigrade “water bear”</w:t>
        </w:r>
      </w:hyperlink>
      <w:r>
        <w:t xml:space="preserve"> </w:t>
      </w:r>
    </w:p>
    <w:p w14:paraId="29997D1F" w14:textId="77777777" w:rsidR="00101F09" w:rsidRDefault="00101F09" w:rsidP="00101F09">
      <w:pPr>
        <w:pStyle w:val="ListParagraph"/>
        <w:numPr>
          <w:ilvl w:val="0"/>
          <w:numId w:val="1"/>
        </w:numPr>
      </w:pPr>
      <w:r>
        <w:t>A River flowing through a changing landscape</w:t>
      </w:r>
    </w:p>
    <w:p w14:paraId="0061CB42" w14:textId="77777777" w:rsidR="00101F09" w:rsidRDefault="00101F09" w:rsidP="00101F09">
      <w:pPr>
        <w:pStyle w:val="ListParagraph"/>
        <w:numPr>
          <w:ilvl w:val="0"/>
          <w:numId w:val="1"/>
        </w:numPr>
      </w:pPr>
      <w:r>
        <w:t xml:space="preserve">Purple Lotus Flower (layered over a networked Earth) </w:t>
      </w:r>
    </w:p>
    <w:p w14:paraId="35DB36B9" w14:textId="77777777" w:rsidR="00101F09" w:rsidRDefault="00101F09">
      <w:pPr>
        <w:pBdr>
          <w:bottom w:val="single" w:sz="6" w:space="1" w:color="auto"/>
        </w:pBdr>
      </w:pPr>
    </w:p>
    <w:p w14:paraId="66158800" w14:textId="77777777" w:rsidR="00101F09" w:rsidRDefault="00101F09">
      <w:pPr>
        <w:pBdr>
          <w:bottom w:val="single" w:sz="6" w:space="1" w:color="auto"/>
        </w:pBdr>
      </w:pPr>
    </w:p>
    <w:p w14:paraId="5BA8636A" w14:textId="77777777" w:rsidR="00101F09" w:rsidRDefault="00101F09">
      <w:pPr>
        <w:pBdr>
          <w:bottom w:val="single" w:sz="6" w:space="1" w:color="auto"/>
        </w:pBdr>
      </w:pPr>
    </w:p>
    <w:p w14:paraId="36283B83" w14:textId="630F43C9" w:rsidR="00285E80" w:rsidRPr="00101F09" w:rsidRDefault="005C3CE0">
      <w:pPr>
        <w:pBdr>
          <w:bottom w:val="single" w:sz="6" w:space="1" w:color="auto"/>
        </w:pBdr>
        <w:rPr>
          <w:sz w:val="28"/>
          <w:szCs w:val="28"/>
        </w:rPr>
      </w:pPr>
      <w:r w:rsidRPr="00101F09">
        <w:rPr>
          <w:sz w:val="28"/>
          <w:szCs w:val="28"/>
        </w:rPr>
        <w:t xml:space="preserve">iLRN2022 text for </w:t>
      </w:r>
      <w:r w:rsidRPr="00101F09">
        <w:rPr>
          <w:sz w:val="28"/>
          <w:szCs w:val="28"/>
        </w:rPr>
        <w:t>ledger sized single-page edge-to-edge (no margins) flyer</w:t>
      </w:r>
      <w:r w:rsidRPr="00101F09">
        <w:rPr>
          <w:sz w:val="28"/>
          <w:szCs w:val="28"/>
        </w:rPr>
        <w:t>:</w:t>
      </w:r>
    </w:p>
    <w:p w14:paraId="68327049" w14:textId="77777777" w:rsidR="005C3CE0" w:rsidRDefault="005C3CE0"/>
    <w:p w14:paraId="1D2638EE" w14:textId="77777777" w:rsidR="005C3CE0" w:rsidRPr="005C3CE0" w:rsidRDefault="005C3CE0" w:rsidP="005C3CE0">
      <w:pPr>
        <w:shd w:val="clear" w:color="auto" w:fill="FFFFFF"/>
        <w:spacing w:before="240"/>
        <w:rPr>
          <w:rFonts w:ascii="Times New Roman" w:eastAsia="Times New Roman" w:hAnsi="Times New Roman" w:cs="Times New Roman"/>
        </w:rPr>
      </w:pPr>
      <w:r w:rsidRPr="005C3CE0">
        <w:rPr>
          <w:rFonts w:ascii="Arial" w:eastAsia="Times New Roman" w:hAnsi="Arial" w:cs="Arial"/>
          <w:color w:val="000000"/>
          <w:sz w:val="46"/>
          <w:szCs w:val="46"/>
        </w:rPr>
        <w:t>CALL FOR PAPERS &amp; PROPOSALS</w:t>
      </w:r>
    </w:p>
    <w:p w14:paraId="5E62BAE1"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Oswald" w:eastAsia="Times New Roman" w:hAnsi="Oswald" w:cs="Times New Roman"/>
          <w:color w:val="000000"/>
          <w:sz w:val="44"/>
          <w:szCs w:val="44"/>
        </w:rPr>
        <w:t>iLRN2022</w:t>
      </w:r>
    </w:p>
    <w:p w14:paraId="0CA84154"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color w:val="000000"/>
          <w:sz w:val="22"/>
          <w:szCs w:val="22"/>
        </w:rPr>
        <w:t>8th International Conference of the Immersive Learning Research Network</w:t>
      </w:r>
    </w:p>
    <w:p w14:paraId="7692D23E" w14:textId="05A2912B" w:rsidR="00101F09" w:rsidRPr="00101F09" w:rsidRDefault="005C3CE0" w:rsidP="005C3CE0">
      <w:pPr>
        <w:shd w:val="clear" w:color="auto" w:fill="FFFFFF"/>
        <w:rPr>
          <w:rFonts w:ascii="Garamond" w:eastAsia="Times New Roman" w:hAnsi="Garamond" w:cs="Times New Roman"/>
          <w:sz w:val="36"/>
          <w:szCs w:val="36"/>
        </w:rPr>
      </w:pPr>
      <w:r w:rsidRPr="005C3CE0">
        <w:rPr>
          <w:rFonts w:ascii="Arial" w:eastAsia="Times New Roman" w:hAnsi="Arial" w:cs="Arial"/>
          <w:color w:val="0F3B51"/>
          <w:sz w:val="36"/>
          <w:szCs w:val="36"/>
        </w:rPr>
        <w:t>May 30</w:t>
      </w:r>
      <w:r w:rsidR="00101F09">
        <w:rPr>
          <w:rFonts w:ascii="Arial" w:eastAsia="Times New Roman" w:hAnsi="Arial" w:cs="Arial"/>
          <w:color w:val="0F3B51"/>
          <w:sz w:val="36"/>
          <w:szCs w:val="36"/>
        </w:rPr>
        <w:t xml:space="preserve"> &amp; 31, 2022 </w:t>
      </w:r>
      <w:r w:rsidR="00101F09" w:rsidRPr="00101F09">
        <w:rPr>
          <w:rFonts w:ascii="Garamond" w:eastAsia="Times New Roman" w:hAnsi="Garamond" w:cs="Times New Roman"/>
          <w:color w:val="7030A0"/>
          <w:sz w:val="36"/>
          <w:szCs w:val="36"/>
        </w:rPr>
        <w:t>iLRN Virtual Campus</w:t>
      </w:r>
      <w:r w:rsidR="00101F09" w:rsidRPr="005C3CE0">
        <w:rPr>
          <w:rFonts w:ascii="Garamond" w:eastAsia="Times New Roman" w:hAnsi="Garamond" w:cs="Times New Roman"/>
          <w:color w:val="7030A0"/>
          <w:sz w:val="36"/>
          <w:szCs w:val="36"/>
        </w:rPr>
        <w:t xml:space="preserve"> (</w:t>
      </w:r>
      <w:r w:rsidR="00101F09" w:rsidRPr="00101F09">
        <w:rPr>
          <w:rFonts w:ascii="Garamond" w:eastAsia="Times New Roman" w:hAnsi="Garamond" w:cs="Times New Roman"/>
          <w:color w:val="7030A0"/>
          <w:sz w:val="36"/>
          <w:szCs w:val="36"/>
        </w:rPr>
        <w:t>online</w:t>
      </w:r>
      <w:r w:rsidR="00101F09" w:rsidRPr="00101F09">
        <w:rPr>
          <w:rFonts w:ascii="Garamond" w:eastAsia="Times New Roman" w:hAnsi="Garamond" w:cs="Times New Roman"/>
          <w:color w:val="7030A0"/>
          <w:sz w:val="36"/>
          <w:szCs w:val="36"/>
        </w:rPr>
        <w:t xml:space="preserve">) </w:t>
      </w:r>
    </w:p>
    <w:p w14:paraId="5D520D5D" w14:textId="77777777" w:rsidR="00101F09" w:rsidRPr="005C3CE0" w:rsidRDefault="00101F09" w:rsidP="00101F09">
      <w:pPr>
        <w:shd w:val="clear" w:color="auto" w:fill="FFFFFF"/>
        <w:rPr>
          <w:rFonts w:ascii="Garamond" w:eastAsia="Times New Roman" w:hAnsi="Garamond" w:cs="Times New Roman"/>
          <w:sz w:val="36"/>
          <w:szCs w:val="36"/>
        </w:rPr>
      </w:pPr>
      <w:r>
        <w:rPr>
          <w:rFonts w:ascii="Arial" w:eastAsia="Times New Roman" w:hAnsi="Arial" w:cs="Arial"/>
          <w:color w:val="0F3B51"/>
          <w:sz w:val="36"/>
          <w:szCs w:val="36"/>
        </w:rPr>
        <w:t>June 01</w:t>
      </w:r>
      <w:r w:rsidR="005C3CE0" w:rsidRPr="005C3CE0">
        <w:rPr>
          <w:rFonts w:ascii="Arial" w:eastAsia="Times New Roman" w:hAnsi="Arial" w:cs="Arial"/>
          <w:color w:val="0F3B51"/>
          <w:sz w:val="36"/>
          <w:szCs w:val="36"/>
        </w:rPr>
        <w:t xml:space="preserve"> to June 04, 2022   </w:t>
      </w:r>
      <w:r w:rsidRPr="005C3CE0">
        <w:rPr>
          <w:rFonts w:ascii="Garamond" w:eastAsia="Times New Roman" w:hAnsi="Garamond" w:cs="Times New Roman"/>
          <w:color w:val="7030A0"/>
          <w:sz w:val="36"/>
          <w:szCs w:val="36"/>
        </w:rPr>
        <w:t>Vienna, Austria (in person</w:t>
      </w:r>
      <w:r w:rsidRPr="00101F09">
        <w:rPr>
          <w:rFonts w:ascii="Garamond" w:eastAsia="Times New Roman" w:hAnsi="Garamond" w:cs="Times New Roman"/>
          <w:color w:val="7030A0"/>
          <w:sz w:val="36"/>
          <w:szCs w:val="36"/>
        </w:rPr>
        <w:t xml:space="preserve">) </w:t>
      </w:r>
    </w:p>
    <w:p w14:paraId="257FC157" w14:textId="2FD799C7" w:rsidR="005C3CE0" w:rsidRDefault="005C3CE0" w:rsidP="005C3CE0">
      <w:pPr>
        <w:shd w:val="clear" w:color="auto" w:fill="FFFFFF"/>
        <w:rPr>
          <w:rFonts w:ascii="Arial" w:eastAsia="Times New Roman" w:hAnsi="Arial" w:cs="Arial"/>
          <w:color w:val="0F3B51"/>
          <w:sz w:val="36"/>
          <w:szCs w:val="36"/>
        </w:rPr>
      </w:pPr>
    </w:p>
    <w:p w14:paraId="5ABAF6AB" w14:textId="48A7C31C" w:rsidR="005C3CE0" w:rsidRDefault="005C3CE0" w:rsidP="005C3CE0">
      <w:pPr>
        <w:shd w:val="clear" w:color="auto" w:fill="FFFFFF"/>
        <w:rPr>
          <w:rFonts w:ascii="Arial" w:eastAsia="Times New Roman" w:hAnsi="Arial" w:cs="Arial"/>
          <w:color w:val="000000"/>
          <w:sz w:val="22"/>
          <w:szCs w:val="22"/>
        </w:rPr>
      </w:pPr>
      <w:r w:rsidRPr="005C3CE0">
        <w:rPr>
          <w:rFonts w:ascii="Arial" w:eastAsia="Times New Roman" w:hAnsi="Arial" w:cs="Arial"/>
          <w:b/>
          <w:bCs/>
          <w:i/>
          <w:iCs/>
          <w:color w:val="7030A0"/>
          <w:sz w:val="26"/>
          <w:szCs w:val="26"/>
        </w:rPr>
        <w:t xml:space="preserve">DISRUPTION, INNOVATION &amp; RESILIENCY: </w:t>
      </w:r>
      <w:r w:rsidRPr="005C3CE0">
        <w:rPr>
          <w:rFonts w:ascii="Arial" w:eastAsia="Times New Roman" w:hAnsi="Arial" w:cs="Arial"/>
          <w:color w:val="000000"/>
          <w:sz w:val="22"/>
          <w:szCs w:val="22"/>
        </w:rPr>
        <w:t>becoming an inclusive &amp; robust global community for immersive learning</w:t>
      </w:r>
    </w:p>
    <w:p w14:paraId="66F4F49E" w14:textId="77777777" w:rsidR="00101F09" w:rsidRPr="005C3CE0" w:rsidRDefault="00101F09" w:rsidP="005C3CE0">
      <w:pPr>
        <w:shd w:val="clear" w:color="auto" w:fill="FFFFFF"/>
        <w:rPr>
          <w:rFonts w:ascii="Times New Roman" w:eastAsia="Times New Roman" w:hAnsi="Times New Roman" w:cs="Times New Roman"/>
        </w:rPr>
      </w:pPr>
    </w:p>
    <w:p w14:paraId="5195EDFD" w14:textId="5E593D5E" w:rsidR="005C3CE0" w:rsidRDefault="005C3CE0" w:rsidP="005C3CE0">
      <w:pPr>
        <w:shd w:val="clear" w:color="auto" w:fill="FFFFFF"/>
        <w:rPr>
          <w:rFonts w:ascii="Arial" w:eastAsia="Times New Roman" w:hAnsi="Arial" w:cs="Arial"/>
          <w:i/>
          <w:iCs/>
          <w:color w:val="0F3B51"/>
          <w:sz w:val="20"/>
          <w:szCs w:val="20"/>
        </w:rPr>
      </w:pPr>
      <w:r w:rsidRPr="005C3CE0">
        <w:rPr>
          <w:rFonts w:ascii="Arial" w:eastAsia="Times New Roman" w:hAnsi="Arial" w:cs="Arial"/>
          <w:i/>
          <w:iCs/>
          <w:color w:val="0F3B51"/>
          <w:sz w:val="20"/>
          <w:szCs w:val="20"/>
        </w:rPr>
        <w:t>Educational Technology x Pedagogy x Computer Science x Serious Games • 3D Collaboration • Digital Twins • Embodied Pedagogical Agents • Medical &amp; Healthcare Education • Workforce &amp; Industry • Cultural Heritage • Language Learning • K-12 STEM • Museums &amp; Libraries • Informal Learning • Community &amp; Civic Engagement • Special Education • Geosciences • Data Visualization and Analytics • Assessment &amp; Evaluation</w:t>
      </w:r>
    </w:p>
    <w:p w14:paraId="2094358A" w14:textId="77777777" w:rsidR="00101F09" w:rsidRPr="005C3CE0" w:rsidRDefault="00101F09" w:rsidP="005C3CE0">
      <w:pPr>
        <w:shd w:val="clear" w:color="auto" w:fill="FFFFFF"/>
        <w:rPr>
          <w:rFonts w:ascii="Times New Roman" w:eastAsia="Times New Roman" w:hAnsi="Times New Roman" w:cs="Times New Roman"/>
        </w:rPr>
      </w:pPr>
    </w:p>
    <w:p w14:paraId="7FD7E403"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F58324"/>
          <w:sz w:val="20"/>
          <w:szCs w:val="20"/>
        </w:rPr>
        <w:t>ACADEMIC STREAM</w:t>
      </w:r>
    </w:p>
    <w:p w14:paraId="185356E1"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(Refereed paper published in proceedings)</w:t>
      </w:r>
    </w:p>
    <w:p w14:paraId="5038BF18"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Full (6–8 pages) paper for oral presentation</w:t>
      </w:r>
    </w:p>
    <w:p w14:paraId="2C07CEE4"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Short paper (4–5 pages) for oral presentation</w:t>
      </w:r>
    </w:p>
    <w:p w14:paraId="4298CC22"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Work-in-progress paper (2–3 pages) for poster presentation</w:t>
      </w:r>
    </w:p>
    <w:p w14:paraId="7ADBFCE1"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Doctoral colloquium paper (2–3 pages) for oral presentation in the doctoral colloquium</w:t>
      </w:r>
    </w:p>
    <w:p w14:paraId="64813D58" w14:textId="70D6A24E" w:rsidR="005C3CE0" w:rsidRDefault="005C3CE0" w:rsidP="005C3CE0">
      <w:pPr>
        <w:shd w:val="clear" w:color="auto" w:fill="FFFFFF"/>
        <w:rPr>
          <w:rFonts w:ascii="Arial" w:eastAsia="Times New Roman" w:hAnsi="Arial" w:cs="Arial"/>
          <w:i/>
          <w:iCs/>
          <w:color w:val="000000"/>
          <w:sz w:val="18"/>
          <w:szCs w:val="18"/>
        </w:rPr>
      </w:pPr>
      <w:r w:rsidRPr="005C3CE0">
        <w:rPr>
          <w:rFonts w:ascii="Arial" w:eastAsia="Times New Roman" w:hAnsi="Arial" w:cs="Arial"/>
          <w:i/>
          <w:iCs/>
          <w:color w:val="000000"/>
          <w:sz w:val="18"/>
          <w:szCs w:val="18"/>
        </w:rPr>
        <w:t>• Workshop proposal, Special session proposal, Panel session proposal (</w:t>
      </w:r>
      <w:proofErr w:type="gramStart"/>
      <w:r w:rsidRPr="005C3CE0">
        <w:rPr>
          <w:rFonts w:ascii="Arial" w:eastAsia="Times New Roman" w:hAnsi="Arial" w:cs="Arial"/>
          <w:i/>
          <w:iCs/>
          <w:color w:val="000000"/>
          <w:sz w:val="18"/>
          <w:szCs w:val="18"/>
        </w:rPr>
        <w:t>2-3 page</w:t>
      </w:r>
      <w:proofErr w:type="gramEnd"/>
      <w:r w:rsidRPr="005C3CE0">
        <w:rPr>
          <w:rFonts w:ascii="Arial" w:eastAsia="Times New Roman" w:hAnsi="Arial" w:cs="Arial"/>
          <w:i/>
          <w:iCs/>
          <w:color w:val="000000"/>
          <w:sz w:val="18"/>
          <w:szCs w:val="18"/>
        </w:rPr>
        <w:t xml:space="preserve"> extended abstract describing session published in proceedings)</w:t>
      </w:r>
    </w:p>
    <w:p w14:paraId="751D8CDC" w14:textId="77777777" w:rsidR="00101F09" w:rsidRPr="005C3CE0" w:rsidRDefault="00101F09" w:rsidP="005C3CE0">
      <w:pPr>
        <w:shd w:val="clear" w:color="auto" w:fill="FFFFFF"/>
        <w:rPr>
          <w:rFonts w:ascii="Times New Roman" w:eastAsia="Times New Roman" w:hAnsi="Times New Roman" w:cs="Times New Roman"/>
        </w:rPr>
      </w:pPr>
    </w:p>
    <w:p w14:paraId="4D1B51AE"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F58324"/>
          <w:sz w:val="20"/>
          <w:szCs w:val="20"/>
        </w:rPr>
        <w:t>PRACTITIONER STREAM</w:t>
      </w:r>
    </w:p>
    <w:p w14:paraId="2C194B97"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(No paper – Refereed on the basis of proposal form)</w:t>
      </w:r>
    </w:p>
    <w:p w14:paraId="6175AF5A"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Oral presentation</w:t>
      </w:r>
    </w:p>
    <w:p w14:paraId="7AD5052E"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Poster presentation</w:t>
      </w:r>
    </w:p>
    <w:p w14:paraId="5934AEB8"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Guided virtual adventures</w:t>
      </w:r>
    </w:p>
    <w:p w14:paraId="551FB02B"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Immersive learning project showcase</w:t>
      </w:r>
    </w:p>
    <w:p w14:paraId="3BB64DF8"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Training Sessions</w:t>
      </w:r>
    </w:p>
    <w:p w14:paraId="50F7202D" w14:textId="68439D6A"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i/>
          <w:iCs/>
          <w:color w:val="000000"/>
          <w:sz w:val="18"/>
          <w:szCs w:val="18"/>
        </w:rPr>
        <w:t>• Product Demonstration</w:t>
      </w:r>
    </w:p>
    <w:p w14:paraId="339A3724"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Times New Roman" w:eastAsia="Times New Roman" w:hAnsi="Times New Roman" w:cs="Times New Roman"/>
        </w:rPr>
        <w:t> </w:t>
      </w:r>
    </w:p>
    <w:p w14:paraId="3E421CEC" w14:textId="09B1BDF3" w:rsidR="005C3CE0" w:rsidRDefault="005C3CE0" w:rsidP="005C3CE0">
      <w:pPr>
        <w:shd w:val="clear" w:color="auto" w:fill="FFFFFF"/>
        <w:rPr>
          <w:rFonts w:ascii="Arial" w:eastAsia="Times New Roman" w:hAnsi="Arial" w:cs="Arial"/>
          <w:b/>
          <w:bCs/>
          <w:color w:val="0F3B51"/>
          <w:sz w:val="20"/>
          <w:szCs w:val="20"/>
        </w:rPr>
      </w:pPr>
      <w:r w:rsidRPr="005C3CE0">
        <w:rPr>
          <w:rFonts w:ascii="Arial" w:eastAsia="Times New Roman" w:hAnsi="Arial" w:cs="Arial"/>
          <w:b/>
          <w:bCs/>
          <w:color w:val="0F3B51"/>
          <w:sz w:val="20"/>
          <w:szCs w:val="20"/>
        </w:rPr>
        <w:lastRenderedPageBreak/>
        <w:t>The 8th International Conference of the Immersive Learning Research Network (iLRN 2022) will be an innovative and interactive gathering for a flourishing global network of researchers and practitioners collaborating to develop the scientific, technical, and applied potential of immersive learning. It is the premier scholarly event focusing on advances in the use of virtual reality (VR), augmented reality (AR), mixed reality (MR), and other extended reality (XR) technologies to support learners across the full span of learning—from K-12 through higher education to work-based, informal, and lifelong learning contexts.</w:t>
      </w:r>
    </w:p>
    <w:p w14:paraId="02D0C7A8" w14:textId="77777777" w:rsidR="00101F09" w:rsidRPr="005C3CE0" w:rsidRDefault="00101F09" w:rsidP="005C3CE0">
      <w:pPr>
        <w:shd w:val="clear" w:color="auto" w:fill="FFFFFF"/>
        <w:rPr>
          <w:rFonts w:ascii="Times New Roman" w:eastAsia="Times New Roman" w:hAnsi="Times New Roman" w:cs="Times New Roman"/>
        </w:rPr>
      </w:pPr>
    </w:p>
    <w:p w14:paraId="095C5019"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222222"/>
          <w:sz w:val="20"/>
          <w:szCs w:val="20"/>
          <w:shd w:val="clear" w:color="auto" w:fill="FFFFFF"/>
        </w:rPr>
        <w:t xml:space="preserve">Following two years of innovative fully online and in-VR conferences, this year's conference will, for the first time, offer a hybrid experience with two days of presentations and activities on the iLRN Virtual Campus, powered by </w:t>
      </w:r>
      <w:proofErr w:type="spellStart"/>
      <w:r w:rsidRPr="005C3CE0">
        <w:rPr>
          <w:rFonts w:ascii="Arial" w:eastAsia="Times New Roman" w:hAnsi="Arial" w:cs="Arial"/>
          <w:b/>
          <w:bCs/>
          <w:color w:val="222222"/>
          <w:sz w:val="20"/>
          <w:szCs w:val="20"/>
          <w:shd w:val="clear" w:color="auto" w:fill="FFFFFF"/>
        </w:rPr>
        <w:t>VirBELA</w:t>
      </w:r>
      <w:proofErr w:type="spellEnd"/>
      <w:r w:rsidRPr="005C3CE0">
        <w:rPr>
          <w:rFonts w:ascii="Arial" w:eastAsia="Times New Roman" w:hAnsi="Arial" w:cs="Arial"/>
          <w:b/>
          <w:bCs/>
          <w:color w:val="222222"/>
          <w:sz w:val="20"/>
          <w:szCs w:val="20"/>
          <w:shd w:val="clear" w:color="auto" w:fill="FFFFFF"/>
        </w:rPr>
        <w:t>, followed by three days on location in Vienna, Austria</w:t>
      </w:r>
      <w:r w:rsidRPr="005C3CE0">
        <w:rPr>
          <w:rFonts w:ascii="Arial" w:eastAsia="Times New Roman" w:hAnsi="Arial" w:cs="Arial"/>
          <w:color w:val="222222"/>
          <w:sz w:val="22"/>
          <w:szCs w:val="22"/>
          <w:shd w:val="clear" w:color="auto" w:fill="FFFFFF"/>
        </w:rPr>
        <w:t>.</w:t>
      </w:r>
      <w:r w:rsidRPr="005C3CE0">
        <w:rPr>
          <w:rFonts w:ascii="Arial" w:eastAsia="Times New Roman" w:hAnsi="Arial" w:cs="Arial"/>
          <w:b/>
          <w:bCs/>
          <w:color w:val="0F3B51"/>
          <w:sz w:val="20"/>
          <w:szCs w:val="20"/>
        </w:rPr>
        <w:t xml:space="preserve"> Scholars and professionals working from informal and formal education settings as well as those representing diverse industry sectors are invited to participate in the conference, where they may share their research findings, experiences, and insights; network and establish partnerships to envision and shape the future of XR and immersive technologies for learning; and contribute to the emerging scholarly knowledge base on how these technologies can be used to create experiences that educate, engage, and excite learners.</w:t>
      </w:r>
    </w:p>
    <w:p w14:paraId="357971B3"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Times New Roman" w:eastAsia="Times New Roman" w:hAnsi="Times New Roman" w:cs="Times New Roman"/>
        </w:rPr>
        <w:t> </w:t>
      </w:r>
    </w:p>
    <w:p w14:paraId="0F0BB6B9"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00000"/>
          <w:sz w:val="38"/>
          <w:szCs w:val="38"/>
        </w:rPr>
        <w:t>Program Tracks</w:t>
      </w:r>
    </w:p>
    <w:p w14:paraId="4F6D90C0"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F3B51"/>
          <w:sz w:val="18"/>
          <w:szCs w:val="18"/>
        </w:rPr>
        <w:t>Papers and proposals may be submitted to one of 10 program tracks, the first nine of which correspond to the iLRN Houses of application, and the tenth of which is intended for papers making knowledge contributions to the learning sciences, computer science, and/or game studies that are not linked to any particular application area.</w:t>
      </w:r>
    </w:p>
    <w:p w14:paraId="68C90E19" w14:textId="77777777" w:rsidR="00101F09" w:rsidRDefault="00101F09" w:rsidP="005C3CE0">
      <w:pPr>
        <w:shd w:val="clear" w:color="auto" w:fill="FFFFFF"/>
        <w:rPr>
          <w:rFonts w:ascii="Arial" w:eastAsia="Times New Roman" w:hAnsi="Arial" w:cs="Arial"/>
          <w:b/>
          <w:bCs/>
          <w:color w:val="0F3B51"/>
          <w:sz w:val="18"/>
          <w:szCs w:val="18"/>
        </w:rPr>
      </w:pPr>
    </w:p>
    <w:p w14:paraId="5A12246B" w14:textId="1E882A3C"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F6D259"/>
          <w:sz w:val="18"/>
          <w:szCs w:val="18"/>
        </w:rPr>
        <w:t xml:space="preserve">Track 1. </w:t>
      </w:r>
      <w:r w:rsidRPr="005C3CE0">
        <w:rPr>
          <w:rFonts w:ascii="Arial" w:eastAsia="Times New Roman" w:hAnsi="Arial" w:cs="Arial"/>
          <w:b/>
          <w:bCs/>
          <w:color w:val="0F3B51"/>
          <w:sz w:val="18"/>
          <w:szCs w:val="18"/>
        </w:rPr>
        <w:t>Assessment and Evaluation (A&amp;E)</w:t>
      </w:r>
    </w:p>
    <w:p w14:paraId="050C0972"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98D4C2"/>
          <w:sz w:val="18"/>
          <w:szCs w:val="18"/>
        </w:rPr>
        <w:t xml:space="preserve">Track 2. </w:t>
      </w:r>
      <w:r w:rsidRPr="005C3CE0">
        <w:rPr>
          <w:rFonts w:ascii="Arial" w:eastAsia="Times New Roman" w:hAnsi="Arial" w:cs="Arial"/>
          <w:b/>
          <w:bCs/>
          <w:color w:val="0F3B51"/>
          <w:sz w:val="18"/>
          <w:szCs w:val="18"/>
        </w:rPr>
        <w:t>Early Childhood Development &amp; Learning (ECDL)</w:t>
      </w:r>
    </w:p>
    <w:p w14:paraId="39D31575"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C24175"/>
          <w:sz w:val="18"/>
          <w:szCs w:val="18"/>
        </w:rPr>
        <w:t xml:space="preserve">Track 3. </w:t>
      </w:r>
      <w:r w:rsidRPr="005C3CE0">
        <w:rPr>
          <w:rFonts w:ascii="Arial" w:eastAsia="Times New Roman" w:hAnsi="Arial" w:cs="Arial"/>
          <w:b/>
          <w:bCs/>
          <w:color w:val="0F3B51"/>
          <w:sz w:val="18"/>
          <w:szCs w:val="18"/>
        </w:rPr>
        <w:t>Galleries, Libraries, Archives, &amp; Museums (GLAM)</w:t>
      </w:r>
    </w:p>
    <w:p w14:paraId="71EB086F"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AAA2BF"/>
          <w:sz w:val="18"/>
          <w:szCs w:val="18"/>
        </w:rPr>
        <w:t xml:space="preserve">Track 4. </w:t>
      </w:r>
      <w:r w:rsidRPr="005C3CE0">
        <w:rPr>
          <w:rFonts w:ascii="Arial" w:eastAsia="Times New Roman" w:hAnsi="Arial" w:cs="Arial"/>
          <w:b/>
          <w:bCs/>
          <w:color w:val="0F3B51"/>
          <w:sz w:val="18"/>
          <w:szCs w:val="18"/>
        </w:rPr>
        <w:t>Inclusion, Diversity, Equity, Access, &amp; Social Justice (IDEAS)</w:t>
      </w:r>
    </w:p>
    <w:p w14:paraId="60AF8FD8"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5E869F"/>
          <w:sz w:val="18"/>
          <w:szCs w:val="18"/>
        </w:rPr>
        <w:t xml:space="preserve">Track 5. </w:t>
      </w:r>
      <w:r w:rsidRPr="005C3CE0">
        <w:rPr>
          <w:rFonts w:ascii="Arial" w:eastAsia="Times New Roman" w:hAnsi="Arial" w:cs="Arial"/>
          <w:b/>
          <w:bCs/>
          <w:color w:val="0F3B51"/>
          <w:sz w:val="18"/>
          <w:szCs w:val="18"/>
        </w:rPr>
        <w:t>STEM Education</w:t>
      </w:r>
    </w:p>
    <w:p w14:paraId="4A2E45AF"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DF5F3B"/>
          <w:sz w:val="18"/>
          <w:szCs w:val="18"/>
        </w:rPr>
        <w:t xml:space="preserve">Track 6. </w:t>
      </w:r>
      <w:r w:rsidRPr="005C3CE0">
        <w:rPr>
          <w:rFonts w:ascii="Arial" w:eastAsia="Times New Roman" w:hAnsi="Arial" w:cs="Arial"/>
          <w:b/>
          <w:bCs/>
          <w:color w:val="0F3B51"/>
          <w:sz w:val="18"/>
          <w:szCs w:val="18"/>
        </w:rPr>
        <w:t>Language, Culture, &amp; Heritage (LCH)</w:t>
      </w:r>
    </w:p>
    <w:p w14:paraId="6C3419D9"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204E86"/>
          <w:sz w:val="18"/>
          <w:szCs w:val="18"/>
        </w:rPr>
        <w:t xml:space="preserve">Track 7. </w:t>
      </w:r>
      <w:r w:rsidRPr="005C3CE0">
        <w:rPr>
          <w:rFonts w:ascii="Arial" w:eastAsia="Times New Roman" w:hAnsi="Arial" w:cs="Arial"/>
          <w:b/>
          <w:bCs/>
          <w:color w:val="0F3B51"/>
          <w:sz w:val="18"/>
          <w:szCs w:val="18"/>
        </w:rPr>
        <w:t>Medical &amp; Healthcare Education (MHE)</w:t>
      </w:r>
    </w:p>
    <w:p w14:paraId="25D07A6B"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606F4C"/>
          <w:sz w:val="18"/>
          <w:szCs w:val="18"/>
        </w:rPr>
        <w:t xml:space="preserve">Track 8. </w:t>
      </w:r>
      <w:r w:rsidRPr="005C3CE0">
        <w:rPr>
          <w:rFonts w:ascii="Arial" w:eastAsia="Times New Roman" w:hAnsi="Arial" w:cs="Arial"/>
          <w:b/>
          <w:bCs/>
          <w:color w:val="0F3B51"/>
          <w:sz w:val="18"/>
          <w:szCs w:val="18"/>
        </w:rPr>
        <w:t>Nature &amp; Environmental Sciences (NES)</w:t>
      </w:r>
    </w:p>
    <w:p w14:paraId="49F51397"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CBB097"/>
          <w:sz w:val="18"/>
          <w:szCs w:val="18"/>
        </w:rPr>
        <w:t xml:space="preserve">Track 9. </w:t>
      </w:r>
      <w:r w:rsidRPr="005C3CE0">
        <w:rPr>
          <w:rFonts w:ascii="Arial" w:eastAsia="Times New Roman" w:hAnsi="Arial" w:cs="Arial"/>
          <w:b/>
          <w:bCs/>
          <w:color w:val="0F3B51"/>
          <w:sz w:val="18"/>
          <w:szCs w:val="18"/>
        </w:rPr>
        <w:t>Workforce Development &amp; Industry Training (WDIT)</w:t>
      </w:r>
    </w:p>
    <w:p w14:paraId="59FD74F3" w14:textId="599D3425" w:rsidR="005C3CE0" w:rsidRDefault="005C3CE0" w:rsidP="005C3CE0">
      <w:pPr>
        <w:shd w:val="clear" w:color="auto" w:fill="FFFFFF"/>
        <w:rPr>
          <w:rFonts w:ascii="Arial" w:eastAsia="Times New Roman" w:hAnsi="Arial" w:cs="Arial"/>
          <w:b/>
          <w:bCs/>
          <w:color w:val="0F3B51"/>
          <w:sz w:val="16"/>
          <w:szCs w:val="16"/>
        </w:rPr>
      </w:pPr>
      <w:r w:rsidRPr="005C3CE0">
        <w:rPr>
          <w:rFonts w:ascii="Arial" w:eastAsia="Times New Roman" w:hAnsi="Arial" w:cs="Arial"/>
          <w:b/>
          <w:bCs/>
          <w:color w:val="90AE57"/>
          <w:sz w:val="18"/>
          <w:szCs w:val="18"/>
        </w:rPr>
        <w:t xml:space="preserve">Track 10. </w:t>
      </w:r>
      <w:r w:rsidRPr="005C3CE0">
        <w:rPr>
          <w:rFonts w:ascii="Arial" w:eastAsia="Times New Roman" w:hAnsi="Arial" w:cs="Arial"/>
          <w:b/>
          <w:bCs/>
          <w:color w:val="0F3B51"/>
          <w:sz w:val="18"/>
          <w:szCs w:val="18"/>
        </w:rPr>
        <w:t xml:space="preserve">Basic Research and Theory in Immersive Learning </w:t>
      </w:r>
      <w:r w:rsidRPr="005C3CE0">
        <w:rPr>
          <w:rFonts w:ascii="Arial" w:eastAsia="Times New Roman" w:hAnsi="Arial" w:cs="Arial"/>
          <w:b/>
          <w:bCs/>
          <w:color w:val="0F3B51"/>
          <w:sz w:val="16"/>
          <w:szCs w:val="16"/>
        </w:rPr>
        <w:t>(not linked to any particular application area)</w:t>
      </w:r>
    </w:p>
    <w:p w14:paraId="7EE6678C" w14:textId="77777777" w:rsidR="005C3CE0" w:rsidRPr="005C3CE0" w:rsidRDefault="005C3CE0" w:rsidP="005C3CE0">
      <w:pPr>
        <w:shd w:val="clear" w:color="auto" w:fill="FFFFFF"/>
        <w:rPr>
          <w:rFonts w:ascii="Times New Roman" w:eastAsia="Times New Roman" w:hAnsi="Times New Roman" w:cs="Times New Roman"/>
        </w:rPr>
      </w:pPr>
    </w:p>
    <w:p w14:paraId="6B7C7A19"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00000"/>
          <w:sz w:val="38"/>
          <w:szCs w:val="38"/>
        </w:rPr>
        <w:t>Paper/Proposal Submission &amp; Review</w:t>
      </w:r>
    </w:p>
    <w:p w14:paraId="2164F989"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F3B51"/>
          <w:sz w:val="18"/>
          <w:szCs w:val="18"/>
        </w:rPr>
        <w:t>Papers for the Academic Stream and extended-abstract proposals for the Nontraditional Session Stream must be prepared in standard IEEE double-column US Letter format using Microsoft Word or LaTeX, and will be accepted only via the online submission system, accessible via the conference website (from which guidelines and templates are also available).</w:t>
      </w:r>
    </w:p>
    <w:p w14:paraId="39C5B857"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F3B51"/>
          <w:sz w:val="18"/>
          <w:szCs w:val="18"/>
        </w:rPr>
        <w:t>Proposals for the Practitioner Stream are to be submitted via an online form, also accessible from the conference website.</w:t>
      </w:r>
    </w:p>
    <w:p w14:paraId="713DA497"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F3B51"/>
          <w:sz w:val="18"/>
          <w:szCs w:val="18"/>
        </w:rPr>
        <w:t>A blind peer-review process will be used to evaluate all submissions.</w:t>
      </w:r>
    </w:p>
    <w:p w14:paraId="64E01D87"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Times New Roman" w:eastAsia="Times New Roman" w:hAnsi="Times New Roman" w:cs="Times New Roman"/>
        </w:rPr>
        <w:t> </w:t>
      </w:r>
    </w:p>
    <w:p w14:paraId="04D9BACF"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00000"/>
          <w:sz w:val="38"/>
          <w:szCs w:val="38"/>
        </w:rPr>
        <w:t>Publication, Abstracting, and Reviewing</w:t>
      </w:r>
    </w:p>
    <w:p w14:paraId="2FE046DB"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F3B51"/>
          <w:sz w:val="18"/>
          <w:szCs w:val="18"/>
        </w:rPr>
        <w:t>All accepted and registered papers in the Academic Stream that are presented at iLRN 2022 and all extended abstracts presented at the conference will be published in the conference proceedings and submitted to the IEEE Xplore® digital library.</w:t>
      </w:r>
    </w:p>
    <w:p w14:paraId="4A0B071D"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F3B51"/>
          <w:sz w:val="18"/>
          <w:szCs w:val="18"/>
        </w:rPr>
        <w:t xml:space="preserve">Content loaded into Xplore is made available by IEEE to its abstracting and indexing partners, including Elsevier (Scopus, </w:t>
      </w:r>
      <w:proofErr w:type="spellStart"/>
      <w:r w:rsidRPr="005C3CE0">
        <w:rPr>
          <w:rFonts w:ascii="Arial" w:eastAsia="Times New Roman" w:hAnsi="Arial" w:cs="Arial"/>
          <w:b/>
          <w:bCs/>
          <w:color w:val="0F3B51"/>
          <w:sz w:val="18"/>
          <w:szCs w:val="18"/>
        </w:rPr>
        <w:t>EiCompendex</w:t>
      </w:r>
      <w:proofErr w:type="spellEnd"/>
      <w:r w:rsidRPr="005C3CE0">
        <w:rPr>
          <w:rFonts w:ascii="Arial" w:eastAsia="Times New Roman" w:hAnsi="Arial" w:cs="Arial"/>
          <w:b/>
          <w:bCs/>
          <w:color w:val="0F3B51"/>
          <w:sz w:val="18"/>
          <w:szCs w:val="18"/>
        </w:rPr>
        <w:t>), Clarivate Analytics (CPCI—part of Web of Science) and others, for potential inclusion in their respective databases. In addition, authors of selected papers may be invited to submit expanded versions of their papers for consideration by a number of Scopus and Web of Science-indexed journals.</w:t>
      </w:r>
    </w:p>
    <w:p w14:paraId="241CCF49" w14:textId="77777777" w:rsidR="005C3CE0" w:rsidRPr="005C3CE0" w:rsidRDefault="005C3CE0" w:rsidP="005C3CE0">
      <w:pPr>
        <w:rPr>
          <w:rFonts w:ascii="Times New Roman" w:eastAsia="Times New Roman" w:hAnsi="Times New Roman" w:cs="Times New Roman"/>
        </w:rPr>
      </w:pPr>
    </w:p>
    <w:p w14:paraId="0048DEA4" w14:textId="77777777" w:rsidR="005C3CE0" w:rsidRPr="005C3CE0" w:rsidRDefault="005C3CE0" w:rsidP="005C3CE0">
      <w:pPr>
        <w:shd w:val="clear" w:color="auto" w:fill="FFFFFF"/>
        <w:rPr>
          <w:rFonts w:ascii="Times New Roman" w:eastAsia="Times New Roman" w:hAnsi="Times New Roman" w:cs="Times New Roman"/>
        </w:rPr>
      </w:pPr>
      <w:r w:rsidRPr="005C3CE0">
        <w:rPr>
          <w:rFonts w:ascii="Arial" w:eastAsia="Times New Roman" w:hAnsi="Arial" w:cs="Arial"/>
          <w:b/>
          <w:bCs/>
          <w:color w:val="000000"/>
          <w:sz w:val="38"/>
          <w:szCs w:val="38"/>
        </w:rPr>
        <w:lastRenderedPageBreak/>
        <w:t>Important Dates </w:t>
      </w:r>
    </w:p>
    <w:p w14:paraId="0691F91F" w14:textId="77777777" w:rsidR="005C3CE0" w:rsidRPr="005C3CE0" w:rsidRDefault="005C3CE0" w:rsidP="005C3CE0">
      <w:r w:rsidRPr="005C3CE0">
        <w:t>Main round submission deadline – all submission types welcome</w:t>
      </w:r>
      <w:r w:rsidRPr="005C3CE0">
        <w:tab/>
        <w:t xml:space="preserve"> 2022-01-15 </w:t>
      </w:r>
    </w:p>
    <w:p w14:paraId="290ECEF1" w14:textId="77777777" w:rsidR="005C3CE0" w:rsidRPr="005C3CE0" w:rsidRDefault="005C3CE0" w:rsidP="005C3CE0">
      <w:r w:rsidRPr="005C3CE0">
        <w:t xml:space="preserve">Late round submission deadline – Work-in-progress papers, Doctoral colloquium, </w:t>
      </w:r>
      <w:proofErr w:type="gramStart"/>
      <w:r w:rsidRPr="005C3CE0">
        <w:t>posters,  Workshop</w:t>
      </w:r>
      <w:proofErr w:type="gramEnd"/>
      <w:r w:rsidRPr="005C3CE0">
        <w:t xml:space="preserve"> proposal, Special session proposal, Panel session proposal and practitioner contributions only</w:t>
      </w:r>
      <w:r w:rsidRPr="005C3CE0">
        <w:tab/>
        <w:t xml:space="preserve"> 2022-03-15</w:t>
      </w:r>
    </w:p>
    <w:p w14:paraId="3825A9A3" w14:textId="77777777" w:rsidR="005C3CE0" w:rsidRPr="005C3CE0" w:rsidRDefault="005C3CE0" w:rsidP="005C3CE0">
      <w:r w:rsidRPr="005C3CE0">
        <w:t>Notification of review outcomes from main submission round</w:t>
      </w:r>
      <w:r w:rsidRPr="005C3CE0">
        <w:tab/>
        <w:t xml:space="preserve"> 2022-03-01</w:t>
      </w:r>
    </w:p>
    <w:p w14:paraId="17E99AB6" w14:textId="77777777" w:rsidR="005C3CE0" w:rsidRPr="005C3CE0" w:rsidRDefault="005C3CE0" w:rsidP="005C3CE0">
      <w:r w:rsidRPr="005C3CE0">
        <w:t>Camera-ready papers for proceedings due – Full and short papers</w:t>
      </w:r>
      <w:r w:rsidRPr="005C3CE0">
        <w:tab/>
        <w:t xml:space="preserve"> 2022-04-16</w:t>
      </w:r>
    </w:p>
    <w:p w14:paraId="77E0F4A8" w14:textId="77777777" w:rsidR="005C3CE0" w:rsidRPr="005C3CE0" w:rsidRDefault="005C3CE0" w:rsidP="005C3CE0">
      <w:r w:rsidRPr="005C3CE0">
        <w:t>Presenter registration deadline – Full and short papers</w:t>
      </w:r>
      <w:r w:rsidRPr="005C3CE0">
        <w:tab/>
        <w:t xml:space="preserve"> 2022-04-16</w:t>
      </w:r>
      <w:r w:rsidRPr="005C3CE0">
        <w:br/>
        <w:t>(Also deadline for early-bird registration rates)</w:t>
      </w:r>
    </w:p>
    <w:p w14:paraId="0C16C83F" w14:textId="77777777" w:rsidR="005C3CE0" w:rsidRPr="005C3CE0" w:rsidRDefault="005C3CE0" w:rsidP="005C3CE0">
      <w:r w:rsidRPr="005C3CE0">
        <w:t>Notification of review outcomes from late submission round</w:t>
      </w:r>
      <w:r w:rsidRPr="005C3CE0">
        <w:tab/>
        <w:t xml:space="preserve"> 2022-04-11</w:t>
      </w:r>
    </w:p>
    <w:p w14:paraId="610CCC10" w14:textId="77777777" w:rsidR="005C3CE0" w:rsidRPr="005C3CE0" w:rsidRDefault="005C3CE0" w:rsidP="005C3CE0">
      <w:r w:rsidRPr="005C3CE0">
        <w:t>Camera-ready work-in-progress papers and nontraditional session extended abstracts for proceedings due; final practitioner abstracts for conference program due</w:t>
      </w:r>
      <w:r w:rsidRPr="005C3CE0">
        <w:tab/>
        <w:t xml:space="preserve"> 2022-04-30</w:t>
      </w:r>
    </w:p>
    <w:p w14:paraId="42FD5DF9" w14:textId="77777777" w:rsidR="005C3CE0" w:rsidRPr="005C3CE0" w:rsidRDefault="005C3CE0" w:rsidP="005C3CE0">
      <w:r w:rsidRPr="005C3CE0">
        <w:t xml:space="preserve">Presenter registration deadline – Work-in-progress papers, Doctoral colloquium, </w:t>
      </w:r>
      <w:proofErr w:type="gramStart"/>
      <w:r w:rsidRPr="005C3CE0">
        <w:t>posters,  Workshop</w:t>
      </w:r>
      <w:proofErr w:type="gramEnd"/>
      <w:r w:rsidRPr="005C3CE0">
        <w:t xml:space="preserve"> proposal, Special session proposal, Panel session proposal</w:t>
      </w:r>
      <w:r w:rsidRPr="005C3CE0">
        <w:tab/>
        <w:t xml:space="preserve"> 2022-04-30</w:t>
      </w:r>
      <w:r w:rsidRPr="005C3CE0">
        <w:br/>
        <w:t>(Also deadline for regular registration rates)</w:t>
      </w:r>
    </w:p>
    <w:p w14:paraId="0D0B0356" w14:textId="77777777" w:rsidR="005C3CE0" w:rsidRPr="005C3CE0" w:rsidRDefault="005C3CE0" w:rsidP="005C3CE0">
      <w:r w:rsidRPr="005C3CE0">
        <w:t>Deadline for uploading presentation materials (videos, slides for oral presentations, posters for poster presentations)</w:t>
      </w:r>
      <w:r w:rsidRPr="005C3CE0">
        <w:tab/>
        <w:t xml:space="preserve"> 2022-05-10</w:t>
      </w:r>
    </w:p>
    <w:p w14:paraId="7A8BA09A" w14:textId="77777777" w:rsidR="005C3CE0" w:rsidRPr="005C3CE0" w:rsidRDefault="005C3CE0" w:rsidP="005C3CE0">
      <w:r w:rsidRPr="005C3CE0">
        <w:t>Conference dates</w:t>
      </w:r>
      <w:r w:rsidRPr="005C3CE0">
        <w:tab/>
        <w:t xml:space="preserve"> 2022-05-30 and 2022-05-31 online iLRN Virtual Campus and 2022-06-01 to 2022-06-04 Vienna, Austria</w:t>
      </w:r>
    </w:p>
    <w:p w14:paraId="061109AE" w14:textId="63EF32B2" w:rsidR="00D24733" w:rsidRDefault="00D24733"/>
    <w:sectPr w:rsidR="00D247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swald">
    <w:panose1 w:val="00000500000000000000"/>
    <w:charset w:val="4D"/>
    <w:family w:val="auto"/>
    <w:pitch w:val="variable"/>
    <w:sig w:usb0="2000020F" w:usb1="00000000" w:usb2="00000000" w:usb3="00000000" w:csb0="00000197"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E220D8"/>
    <w:multiLevelType w:val="hybridMultilevel"/>
    <w:tmpl w:val="DB1676BE"/>
    <w:lvl w:ilvl="0" w:tplc="6C0A2D2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733"/>
    <w:rsid w:val="00101F09"/>
    <w:rsid w:val="0038200F"/>
    <w:rsid w:val="005C3CE0"/>
    <w:rsid w:val="00942C98"/>
    <w:rsid w:val="00D24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F5E1F"/>
  <w15:chartTrackingRefBased/>
  <w15:docId w15:val="{5A54E159-5883-3B4A-B943-04C80DD9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733"/>
    <w:pPr>
      <w:ind w:left="720"/>
      <w:contextualSpacing/>
    </w:pPr>
  </w:style>
  <w:style w:type="character" w:styleId="Hyperlink">
    <w:name w:val="Hyperlink"/>
    <w:basedOn w:val="DefaultParagraphFont"/>
    <w:uiPriority w:val="99"/>
    <w:unhideWhenUsed/>
    <w:rsid w:val="005C3CE0"/>
    <w:rPr>
      <w:color w:val="0563C1" w:themeColor="hyperlink"/>
      <w:u w:val="single"/>
    </w:rPr>
  </w:style>
  <w:style w:type="character" w:styleId="UnresolvedMention">
    <w:name w:val="Unresolved Mention"/>
    <w:basedOn w:val="DefaultParagraphFont"/>
    <w:uiPriority w:val="99"/>
    <w:semiHidden/>
    <w:unhideWhenUsed/>
    <w:rsid w:val="005C3CE0"/>
    <w:rPr>
      <w:color w:val="605E5C"/>
      <w:shd w:val="clear" w:color="auto" w:fill="E1DFDD"/>
    </w:rPr>
  </w:style>
  <w:style w:type="paragraph" w:styleId="NormalWeb">
    <w:name w:val="Normal (Web)"/>
    <w:basedOn w:val="Normal"/>
    <w:uiPriority w:val="99"/>
    <w:semiHidden/>
    <w:unhideWhenUsed/>
    <w:rsid w:val="005C3CE0"/>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5C3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6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Tardigrade" TargetMode="External"/><Relationship Id="rId5" Type="http://schemas.openxmlformats.org/officeDocument/2006/relationships/hyperlink" Target="https://en.wikipedia.org/wiki/Heli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jonathon richter</dc:creator>
  <cp:keywords/>
  <dc:description/>
  <cp:lastModifiedBy>jonathon richter</cp:lastModifiedBy>
  <cp:revision>1</cp:revision>
  <dcterms:created xsi:type="dcterms:W3CDTF">2021-10-15T16:02:00Z</dcterms:created>
  <dcterms:modified xsi:type="dcterms:W3CDTF">2021-10-15T16:36:00Z</dcterms:modified>
</cp:coreProperties>
</file>